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BA" w:rsidRPr="002C235D" w:rsidRDefault="00AE52BA" w:rsidP="00AE52BA">
      <w:pPr>
        <w:autoSpaceDE w:val="0"/>
        <w:autoSpaceDN w:val="0"/>
        <w:adjustRightInd w:val="0"/>
        <w:rPr>
          <w:rFonts w:ascii="Arial" w:hAnsi="Arial" w:cs="Arial"/>
          <w:b/>
          <w:bCs/>
        </w:rPr>
      </w:pPr>
      <w:r w:rsidRPr="002C235D">
        <w:rPr>
          <w:rFonts w:ascii="Arial" w:hAnsi="Arial" w:cs="Arial"/>
          <w:b/>
          <w:bCs/>
        </w:rPr>
        <w:t xml:space="preserve">ATA DE REGISTRO DE PREÇOS Nº </w:t>
      </w:r>
      <w:r w:rsidRPr="002C235D">
        <w:rPr>
          <w:rFonts w:ascii="Arial" w:hAnsi="Arial" w:cs="Arial"/>
          <w:b/>
        </w:rPr>
        <w:t>0080</w:t>
      </w:r>
      <w:r w:rsidRPr="002C235D">
        <w:rPr>
          <w:rFonts w:ascii="Arial" w:hAnsi="Arial" w:cs="Arial"/>
          <w:b/>
          <w:bCs/>
        </w:rPr>
        <w:t>/ 2017</w:t>
      </w:r>
    </w:p>
    <w:p w:rsidR="00AE52BA" w:rsidRPr="002C235D" w:rsidRDefault="00AE52BA" w:rsidP="00AE52BA">
      <w:pPr>
        <w:autoSpaceDE w:val="0"/>
        <w:autoSpaceDN w:val="0"/>
        <w:adjustRightInd w:val="0"/>
        <w:rPr>
          <w:rFonts w:ascii="Arial" w:hAnsi="Arial" w:cs="Arial"/>
          <w:b/>
          <w:bCs/>
        </w:rPr>
      </w:pPr>
      <w:r w:rsidRPr="002C235D">
        <w:rPr>
          <w:rFonts w:ascii="Arial" w:hAnsi="Arial" w:cs="Arial"/>
          <w:b/>
          <w:bCs/>
        </w:rPr>
        <w:t>PROCESSO Nº</w:t>
      </w:r>
      <w:r w:rsidRPr="002C235D">
        <w:rPr>
          <w:rFonts w:ascii="Arial" w:hAnsi="Arial" w:cs="Arial"/>
          <w:b/>
        </w:rPr>
        <w:t xml:space="preserve"> 0117/2017</w:t>
      </w:r>
    </w:p>
    <w:p w:rsidR="00AE52BA" w:rsidRPr="0088592F" w:rsidRDefault="00AE52BA" w:rsidP="0088592F">
      <w:pPr>
        <w:autoSpaceDE w:val="0"/>
        <w:autoSpaceDN w:val="0"/>
        <w:adjustRightInd w:val="0"/>
        <w:rPr>
          <w:rFonts w:ascii="Arial" w:hAnsi="Arial" w:cs="Arial"/>
          <w:b/>
          <w:bCs/>
        </w:rPr>
      </w:pPr>
      <w:r w:rsidRPr="002C235D">
        <w:rPr>
          <w:rFonts w:ascii="Arial" w:hAnsi="Arial" w:cs="Arial"/>
          <w:b/>
          <w:bCs/>
        </w:rPr>
        <w:t xml:space="preserve">PREGÃO PRESENCIAL DE RP Nº </w:t>
      </w:r>
      <w:r w:rsidRPr="002C235D">
        <w:rPr>
          <w:rFonts w:ascii="Arial" w:hAnsi="Arial" w:cs="Arial"/>
          <w:b/>
        </w:rPr>
        <w:t>0055/2017</w:t>
      </w:r>
    </w:p>
    <w:p w:rsidR="00AE52BA" w:rsidRPr="002C235D" w:rsidRDefault="00AE52BA" w:rsidP="002C235D">
      <w:pPr>
        <w:jc w:val="both"/>
        <w:rPr>
          <w:rFonts w:ascii="Arial" w:hAnsi="Arial" w:cs="Arial"/>
        </w:rPr>
      </w:pPr>
      <w:r w:rsidRPr="002C235D">
        <w:rPr>
          <w:rFonts w:ascii="Arial" w:hAnsi="Arial" w:cs="Arial"/>
        </w:rPr>
        <w:t xml:space="preserve">O Município de Serra Azul de Minas, inscrito no CNPJ sob o n. 18.303.230/0001-95 com sede na Av. Geraldo Gomes de Brito, N° 94, Bairro Centro, Serra Azul de Minas/MG, neste ato representado por seu Prefeito, o Sr. Leonardo do Carmo Coelho, nos termos da Lei Federal nº 8.666/93, Lei Federal nº 10.520/02, Decreto Municipal nº 009/2017, que regulamenta o SRP, e demais disposições legais aplicáveis, resolve </w:t>
      </w:r>
      <w:r w:rsidRPr="002C235D">
        <w:rPr>
          <w:rFonts w:ascii="Arial" w:hAnsi="Arial" w:cs="Arial"/>
          <w:b/>
        </w:rPr>
        <w:t>registrar os preços</w:t>
      </w:r>
      <w:r w:rsidRPr="002C235D">
        <w:rPr>
          <w:rFonts w:ascii="Arial" w:hAnsi="Arial" w:cs="Arial"/>
        </w:rPr>
        <w:t xml:space="preserve"> apresentado pela MARCELO ARAUJO SILVA E CIA LTDA-ME, inscrita no CNPJ sob o nº 71.107.320/0001-93, situada na R FREI HENRIQUE Nrº.: 618, SAO FRANCISCO, PARA DE MINAS/MG, a seguir denominada DETENTORA DA ATA DE REGISTRO DE PREÇOS, neste ato representada por seu </w:t>
      </w:r>
      <w:bookmarkStart w:id="0" w:name="OLE_LINK16"/>
      <w:bookmarkStart w:id="1" w:name="OLE_LINK17"/>
      <w:r w:rsidRPr="002C235D">
        <w:rPr>
          <w:rFonts w:ascii="Arial" w:hAnsi="Arial" w:cs="Arial"/>
        </w:rPr>
        <w:t>MARCELO ARAUJO SILVA</w:t>
      </w:r>
      <w:bookmarkEnd w:id="0"/>
      <w:bookmarkEnd w:id="1"/>
      <w:r w:rsidRPr="002C235D">
        <w:rPr>
          <w:rFonts w:ascii="Arial" w:hAnsi="Arial" w:cs="Arial"/>
        </w:rPr>
        <w:t>, inscrito no CPF sob o nº 039.081.586-13, nos termos das cláusulas e condições que seguem:</w:t>
      </w:r>
    </w:p>
    <w:p w:rsidR="00AE52BA" w:rsidRPr="002C235D" w:rsidRDefault="00AE52BA" w:rsidP="002C235D">
      <w:pPr>
        <w:autoSpaceDE w:val="0"/>
        <w:autoSpaceDN w:val="0"/>
        <w:adjustRightInd w:val="0"/>
        <w:jc w:val="both"/>
        <w:rPr>
          <w:rFonts w:ascii="Arial" w:hAnsi="Arial" w:cs="Arial"/>
          <w:b/>
          <w:bCs/>
        </w:rPr>
      </w:pPr>
    </w:p>
    <w:p w:rsidR="00AE52BA" w:rsidRPr="002C235D" w:rsidRDefault="00AE52BA" w:rsidP="002C235D">
      <w:pPr>
        <w:autoSpaceDE w:val="0"/>
        <w:autoSpaceDN w:val="0"/>
        <w:adjustRightInd w:val="0"/>
        <w:jc w:val="both"/>
        <w:rPr>
          <w:rFonts w:ascii="Arial" w:hAnsi="Arial" w:cs="Arial"/>
          <w:b/>
          <w:bCs/>
        </w:rPr>
      </w:pPr>
      <w:r w:rsidRPr="002C235D">
        <w:rPr>
          <w:rFonts w:ascii="Arial" w:hAnsi="Arial" w:cs="Arial"/>
          <w:b/>
          <w:bCs/>
        </w:rPr>
        <w:t>I – OBJETO</w:t>
      </w:r>
    </w:p>
    <w:p w:rsidR="00AE52BA" w:rsidRPr="002C235D" w:rsidRDefault="00AE52BA" w:rsidP="002C235D">
      <w:pPr>
        <w:pStyle w:val="Cabedamensagemdepois"/>
        <w:pBdr>
          <w:bottom w:val="none" w:sz="0" w:space="0" w:color="auto"/>
        </w:pBdr>
        <w:spacing w:after="0" w:line="240" w:lineRule="auto"/>
        <w:ind w:left="0" w:right="0" w:firstLine="0"/>
        <w:jc w:val="both"/>
        <w:rPr>
          <w:rFonts w:ascii="Arial" w:hAnsi="Arial" w:cs="Arial"/>
          <w:sz w:val="24"/>
          <w:szCs w:val="24"/>
        </w:rPr>
      </w:pPr>
      <w:r w:rsidRPr="002C235D">
        <w:rPr>
          <w:rFonts w:ascii="Arial" w:hAnsi="Arial" w:cs="Arial"/>
          <w:sz w:val="24"/>
          <w:szCs w:val="24"/>
        </w:rPr>
        <w:t>1.1. Constitui o presente objeto o AQUISIÇÃO DE INSTRUMENTOS MUSICAIS NOVOS, ESTANTES E AFINS EM ATENDIMENTO AO SOLIC</w:t>
      </w:r>
      <w:r w:rsidR="002C235D">
        <w:rPr>
          <w:rFonts w:ascii="Arial" w:hAnsi="Arial" w:cs="Arial"/>
          <w:sz w:val="24"/>
          <w:szCs w:val="24"/>
        </w:rPr>
        <w:t>ITADO PELA SECRETARIA MUNICIPAL</w:t>
      </w:r>
      <w:r w:rsidRPr="002C235D">
        <w:rPr>
          <w:rFonts w:ascii="Arial" w:hAnsi="Arial" w:cs="Arial"/>
          <w:sz w:val="24"/>
          <w:szCs w:val="24"/>
        </w:rPr>
        <w:t xml:space="preserve"> DE CUL./ ESP./LAZER E TURISMO DE SERRA AZUL DE MINAS., conforme especificações.</w:t>
      </w:r>
    </w:p>
    <w:p w:rsidR="00AE52BA" w:rsidRPr="002C235D" w:rsidRDefault="00AE52BA" w:rsidP="002C235D">
      <w:pPr>
        <w:autoSpaceDE w:val="0"/>
        <w:autoSpaceDN w:val="0"/>
        <w:adjustRightInd w:val="0"/>
        <w:contextualSpacing/>
        <w:jc w:val="both"/>
        <w:rPr>
          <w:rFonts w:ascii="Arial" w:hAnsi="Arial" w:cs="Arial"/>
        </w:rPr>
      </w:pPr>
      <w:r w:rsidRPr="002C235D">
        <w:rPr>
          <w:rFonts w:ascii="Arial" w:hAnsi="Arial" w:cs="Arial"/>
        </w:rPr>
        <w:t xml:space="preserve">1.2 – Consideram-se registrados os preços da Detentora da Ata acima qualificado, no valor total estimado em </w:t>
      </w:r>
      <w:r w:rsidRPr="002C235D">
        <w:rPr>
          <w:rFonts w:ascii="Arial" w:hAnsi="Arial" w:cs="Arial"/>
          <w:b/>
        </w:rPr>
        <w:t>R$ 3.679,66 (tres mil e seiscentos e setenta e nove reais e sessenta e seis centavos)</w:t>
      </w:r>
      <w:r w:rsidRPr="002C235D">
        <w:rPr>
          <w:rFonts w:ascii="Arial" w:hAnsi="Arial" w:cs="Arial"/>
        </w:rPr>
        <w:t>, conforme quantitativos e valores abaixo especificados:</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959"/>
        <w:gridCol w:w="2835"/>
        <w:gridCol w:w="1134"/>
        <w:gridCol w:w="992"/>
        <w:gridCol w:w="284"/>
        <w:gridCol w:w="708"/>
        <w:gridCol w:w="1418"/>
        <w:gridCol w:w="1417"/>
        <w:gridCol w:w="20"/>
      </w:tblGrid>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b/>
              </w:rPr>
            </w:pPr>
            <w:r w:rsidRPr="002C235D">
              <w:rPr>
                <w:rFonts w:ascii="Arial" w:hAnsi="Arial" w:cs="Arial"/>
                <w:b/>
              </w:rPr>
              <w:t>CÓD.</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b/>
              </w:rPr>
            </w:pPr>
            <w:r w:rsidRPr="002C235D">
              <w:rPr>
                <w:rFonts w:ascii="Arial" w:hAnsi="Arial" w:cs="Arial"/>
                <w:b/>
              </w:rPr>
              <w:t>MATERIAL/SERVIÇOÇO</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b/>
              </w:rPr>
            </w:pPr>
            <w:r w:rsidRPr="002C235D">
              <w:rPr>
                <w:rFonts w:ascii="Arial" w:hAnsi="Arial" w:cs="Arial"/>
                <w:b/>
              </w:rPr>
              <w:t xml:space="preserve">UND </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b/>
              </w:rPr>
            </w:pPr>
            <w:r w:rsidRPr="002C235D">
              <w:rPr>
                <w:rFonts w:ascii="Arial" w:hAnsi="Arial" w:cs="Arial"/>
                <w:b/>
              </w:rPr>
              <w:t>MARCA</w:t>
            </w:r>
          </w:p>
          <w:p w:rsidR="00AE52BA" w:rsidRPr="002C235D" w:rsidRDefault="00AE52BA" w:rsidP="00EC48CC">
            <w:pPr>
              <w:autoSpaceDE w:val="0"/>
              <w:autoSpaceDN w:val="0"/>
              <w:adjustRightInd w:val="0"/>
              <w:jc w:val="center"/>
              <w:rPr>
                <w:rFonts w:ascii="Arial" w:hAnsi="Arial" w:cs="Arial"/>
                <w:b/>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b/>
              </w:rPr>
            </w:pPr>
            <w:r w:rsidRPr="002C235D">
              <w:rPr>
                <w:rFonts w:ascii="Arial" w:hAnsi="Arial" w:cs="Arial"/>
                <w:b/>
              </w:rPr>
              <w:t>QTDE</w:t>
            </w:r>
          </w:p>
          <w:p w:rsidR="00AE52BA" w:rsidRPr="002C235D" w:rsidRDefault="00AE52BA" w:rsidP="00EC48CC">
            <w:pPr>
              <w:autoSpaceDE w:val="0"/>
              <w:autoSpaceDN w:val="0"/>
              <w:adjustRightInd w:val="0"/>
              <w:jc w:val="center"/>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b/>
              </w:rPr>
            </w:pPr>
            <w:r w:rsidRPr="002C235D">
              <w:rPr>
                <w:rFonts w:ascii="Arial" w:hAnsi="Arial" w:cs="Arial"/>
                <w:b/>
              </w:rPr>
              <w:t>VALOR UNIT.</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center"/>
              <w:rPr>
                <w:rFonts w:ascii="Arial" w:hAnsi="Arial" w:cs="Arial"/>
                <w:b/>
              </w:rPr>
            </w:pPr>
            <w:r w:rsidRPr="002C235D">
              <w:rPr>
                <w:rFonts w:ascii="Arial" w:hAnsi="Arial" w:cs="Arial"/>
                <w:b/>
              </w:rPr>
              <w:t>VALOR TOTAL</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18511</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Bombo fuzileiro 22 Polegadas com armaçao e aro de Metal, completo com naylons, correia de 2 pontas de couro ou nylon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Luen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412,00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412,00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18494</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Correias de naylon ou couro, 02 pontas para Bombo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Basso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6.0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39,20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235,20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18499</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Esteiras 36 fios para tarol 14 polegadas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Luen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50,72</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101,44</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18493</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Maçanetas (Baquetas) de Pelúcia com cabo de madeira, para Bombo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Luen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19,89</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79,56</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18485</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Palhetas de Bambu para Clarinete Sib nº 2,5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Riyin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9,70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291,00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18486</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Palhetas de Bambu para Clarinete Sib nº 3,0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Riyin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9,70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291,00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lastRenderedPageBreak/>
              <w:t>18490</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Palhetas de Bambu para Sax Alto Mib nº 2,5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Riyin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9,70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291,00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18489</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Palhetas de Bambu para Sax Tenor Sib nº 2,5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Riyin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11,50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345,00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18488</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Palhetas de Bambu para Sax Tenor Sib nº 3,0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Riyin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30.0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11,60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348,00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18495</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Peles (Pergunta) leitosa 14 Polegadas para tarol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Izzo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8.0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20,93</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167,44</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18497</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Peles (resposta) transparente 14 Polegadas para tarol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Izzo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6.0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20,93</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125,58</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18492</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Peles Leitosas -  22 Polegadas para Bombo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Izzo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68,86</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275,44</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18512</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Surdos Médios 14 Polegadas com armaçao e aro de Metal, completo com naylons, correia de 2 pontas de couro ou nylon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Luen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262,00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524,00</w:t>
            </w:r>
          </w:p>
        </w:tc>
      </w:tr>
      <w:tr w:rsidR="00AE52BA" w:rsidRPr="002C235D" w:rsidTr="00EC48CC">
        <w:tblPrEx>
          <w:tblCellMar>
            <w:top w:w="0" w:type="dxa"/>
            <w:bottom w:w="0" w:type="dxa"/>
          </w:tblCellMar>
        </w:tblPrEx>
        <w:tc>
          <w:tcPr>
            <w:tcW w:w="959" w:type="dxa"/>
            <w:tcBorders>
              <w:top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center"/>
              <w:rPr>
                <w:rFonts w:ascii="Arial" w:hAnsi="Arial" w:cs="Arial"/>
              </w:rPr>
            </w:pPr>
            <w:r w:rsidRPr="002C235D">
              <w:rPr>
                <w:rFonts w:ascii="Arial" w:hAnsi="Arial" w:cs="Arial"/>
              </w:rPr>
              <w:t>18513</w:t>
            </w:r>
          </w:p>
        </w:tc>
        <w:tc>
          <w:tcPr>
            <w:tcW w:w="2835"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 xml:space="preserve">Tarol 14 polegadas, com naylos de pergunta e resposta, esteira 36 fios e correia de couro ou naylon </w:t>
            </w:r>
          </w:p>
        </w:tc>
        <w:tc>
          <w:tcPr>
            <w:tcW w:w="1134"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Unidade(s)</w:t>
            </w:r>
          </w:p>
        </w:tc>
        <w:tc>
          <w:tcPr>
            <w:tcW w:w="992"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rPr>
                <w:rFonts w:ascii="Arial" w:hAnsi="Arial" w:cs="Arial"/>
              </w:rPr>
            </w:pPr>
            <w:r w:rsidRPr="002C235D">
              <w:rPr>
                <w:rFonts w:ascii="Arial" w:hAnsi="Arial" w:cs="Arial"/>
              </w:rPr>
              <w:t>Luen</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193,00</w:t>
            </w:r>
          </w:p>
        </w:tc>
        <w:tc>
          <w:tcPr>
            <w:tcW w:w="1437" w:type="dxa"/>
            <w:gridSpan w:val="2"/>
            <w:tcBorders>
              <w:top w:val="single" w:sz="4" w:space="0" w:color="000000"/>
              <w:left w:val="single" w:sz="4" w:space="0" w:color="000000"/>
              <w:bottom w:val="single" w:sz="4" w:space="0" w:color="000000"/>
            </w:tcBorders>
            <w:vAlign w:val="center"/>
          </w:tcPr>
          <w:p w:rsidR="00AE52BA" w:rsidRPr="002C235D" w:rsidRDefault="00AE52BA" w:rsidP="00EC48CC">
            <w:pPr>
              <w:autoSpaceDE w:val="0"/>
              <w:autoSpaceDN w:val="0"/>
              <w:adjustRightInd w:val="0"/>
              <w:jc w:val="right"/>
              <w:rPr>
                <w:rFonts w:ascii="Arial" w:hAnsi="Arial" w:cs="Arial"/>
              </w:rPr>
            </w:pPr>
            <w:r w:rsidRPr="002C235D">
              <w:rPr>
                <w:rFonts w:ascii="Arial" w:hAnsi="Arial" w:cs="Arial"/>
              </w:rPr>
              <w:t>193,00</w:t>
            </w:r>
          </w:p>
        </w:tc>
      </w:tr>
      <w:tr w:rsidR="00AE52BA" w:rsidRPr="002C235D" w:rsidTr="00EC48CC">
        <w:tblPrEx>
          <w:tblCellMar>
            <w:top w:w="0" w:type="dxa"/>
            <w:bottom w:w="0" w:type="dxa"/>
          </w:tblCellMar>
        </w:tblPrEx>
        <w:trPr>
          <w:gridAfter w:val="1"/>
          <w:wAfter w:w="20" w:type="dxa"/>
        </w:trPr>
        <w:tc>
          <w:tcPr>
            <w:tcW w:w="6204" w:type="dxa"/>
            <w:gridSpan w:val="5"/>
            <w:tcBorders>
              <w:top w:val="single" w:sz="4" w:space="0" w:color="000000"/>
              <w:bottom w:val="single" w:sz="4" w:space="0" w:color="000000"/>
              <w:right w:val="single" w:sz="4" w:space="0" w:color="000000"/>
            </w:tcBorders>
            <w:vAlign w:val="center"/>
          </w:tcPr>
          <w:p w:rsidR="00AE52BA" w:rsidRPr="002C235D" w:rsidRDefault="00AE52BA" w:rsidP="00EC48CC">
            <w:pPr>
              <w:widowControl w:val="0"/>
              <w:autoSpaceDE w:val="0"/>
              <w:autoSpaceDN w:val="0"/>
              <w:adjustRightInd w:val="0"/>
              <w:jc w:val="right"/>
              <w:rPr>
                <w:rFonts w:ascii="Arial" w:hAnsi="Arial" w:cs="Arial"/>
                <w:b/>
              </w:rPr>
            </w:pPr>
            <w:r w:rsidRPr="002C235D">
              <w:rPr>
                <w:rFonts w:ascii="Arial" w:hAnsi="Arial" w:cs="Arial"/>
                <w:b/>
              </w:rPr>
              <w:t>VALOR TOTAL:</w:t>
            </w:r>
          </w:p>
        </w:tc>
        <w:tc>
          <w:tcPr>
            <w:tcW w:w="3543" w:type="dxa"/>
            <w:gridSpan w:val="3"/>
            <w:tcBorders>
              <w:top w:val="single" w:sz="4" w:space="0" w:color="000000"/>
              <w:left w:val="single" w:sz="4" w:space="0" w:color="000000"/>
              <w:bottom w:val="single" w:sz="4" w:space="0" w:color="000000"/>
            </w:tcBorders>
            <w:vAlign w:val="center"/>
          </w:tcPr>
          <w:p w:rsidR="00AE52BA" w:rsidRPr="002C235D" w:rsidRDefault="00AE52BA" w:rsidP="00EC48CC">
            <w:pPr>
              <w:widowControl w:val="0"/>
              <w:autoSpaceDE w:val="0"/>
              <w:autoSpaceDN w:val="0"/>
              <w:adjustRightInd w:val="0"/>
              <w:jc w:val="right"/>
              <w:rPr>
                <w:rFonts w:ascii="Arial" w:hAnsi="Arial" w:cs="Arial"/>
                <w:b/>
              </w:rPr>
            </w:pPr>
            <w:r w:rsidRPr="002C235D">
              <w:rPr>
                <w:rFonts w:ascii="Arial" w:hAnsi="Arial" w:cs="Arial"/>
                <w:b/>
              </w:rPr>
              <w:t>3.679,66</w:t>
            </w:r>
          </w:p>
        </w:tc>
      </w:tr>
    </w:tbl>
    <w:p w:rsidR="007F0E00" w:rsidRPr="002C235D" w:rsidRDefault="007F0E00" w:rsidP="007F0E00">
      <w:pPr>
        <w:tabs>
          <w:tab w:val="left" w:pos="1047"/>
        </w:tabs>
        <w:autoSpaceDE w:val="0"/>
        <w:spacing w:before="240" w:after="120"/>
        <w:jc w:val="both"/>
        <w:rPr>
          <w:rFonts w:ascii="Arial" w:hAnsi="Arial" w:cs="Arial"/>
        </w:rPr>
      </w:pPr>
      <w:r w:rsidRPr="002C235D">
        <w:rPr>
          <w:rFonts w:ascii="Arial" w:hAnsi="Arial" w:cs="Arial"/>
        </w:rPr>
        <w:t>1.2 – Deverão ser respeitadas as especificações e condições de fornecimento contidas no Edital que precedeu a esta Ata de Registro de Preços, que dela fica fazendo parte integrante.</w:t>
      </w:r>
    </w:p>
    <w:p w:rsidR="007F0E00" w:rsidRPr="002C235D" w:rsidRDefault="007F0E00" w:rsidP="007F0E00">
      <w:pPr>
        <w:tabs>
          <w:tab w:val="left" w:pos="1047"/>
        </w:tabs>
        <w:autoSpaceDE w:val="0"/>
        <w:spacing w:before="240" w:after="120"/>
        <w:jc w:val="both"/>
        <w:rPr>
          <w:rFonts w:ascii="Arial" w:hAnsi="Arial" w:cs="Arial"/>
          <w:b/>
        </w:rPr>
      </w:pPr>
      <w:r w:rsidRPr="002C235D">
        <w:rPr>
          <w:rFonts w:ascii="Arial" w:hAnsi="Arial" w:cs="Arial"/>
          <w:b/>
        </w:rPr>
        <w:t xml:space="preserve">II – DO GERENCIAMENTO E UTILIZAÇÃO DA ATA </w:t>
      </w:r>
    </w:p>
    <w:p w:rsidR="007F0E00" w:rsidRPr="002C235D" w:rsidRDefault="0088592F" w:rsidP="007F0E00">
      <w:pPr>
        <w:tabs>
          <w:tab w:val="left" w:pos="1047"/>
        </w:tabs>
        <w:autoSpaceDE w:val="0"/>
        <w:spacing w:before="240" w:after="120"/>
        <w:jc w:val="both"/>
        <w:rPr>
          <w:rFonts w:ascii="Arial" w:hAnsi="Arial" w:cs="Arial"/>
        </w:rPr>
      </w:pPr>
      <w:r>
        <w:rPr>
          <w:rFonts w:ascii="Arial" w:hAnsi="Arial" w:cs="Arial"/>
        </w:rPr>
        <w:t>2.1. O gerenciamento desta Ata</w:t>
      </w:r>
      <w:r w:rsidR="002C235D">
        <w:rPr>
          <w:rFonts w:ascii="Arial" w:hAnsi="Arial" w:cs="Arial"/>
        </w:rPr>
        <w:t xml:space="preserve"> </w:t>
      </w:r>
      <w:r w:rsidR="007F0E00" w:rsidRPr="002C235D">
        <w:rPr>
          <w:rFonts w:ascii="Arial" w:hAnsi="Arial" w:cs="Arial"/>
        </w:rPr>
        <w:t xml:space="preserve">caberá a Secretaria Municipal de </w:t>
      </w:r>
      <w:r w:rsidR="002C235D">
        <w:rPr>
          <w:rFonts w:ascii="Arial" w:hAnsi="Arial" w:cs="Arial"/>
        </w:rPr>
        <w:t>SECRETARIA MUNICIPAL</w:t>
      </w:r>
      <w:r w:rsidR="002C235D" w:rsidRPr="002C235D">
        <w:rPr>
          <w:rFonts w:ascii="Arial" w:hAnsi="Arial" w:cs="Arial"/>
        </w:rPr>
        <w:t xml:space="preserve"> DE CUL./ ESP./LAZER E TURISMO</w:t>
      </w:r>
      <w:r w:rsidR="007F0E00" w:rsidRPr="002C235D">
        <w:rPr>
          <w:rFonts w:ascii="Arial" w:hAnsi="Arial" w:cs="Arial"/>
        </w:rPr>
        <w:t xml:space="preserve"> por meio do Setor de Compras, que juntamente com o responsável ou pessoa indicada pela secretaria solicitante dos produtos que efetuará o recebimento e a conferência quanto a sua correta especificação e atendimento ao item 1.2.</w:t>
      </w:r>
    </w:p>
    <w:p w:rsidR="007F0E00" w:rsidRPr="002C235D" w:rsidRDefault="007F0E00" w:rsidP="007F0E00">
      <w:pPr>
        <w:tabs>
          <w:tab w:val="left" w:pos="284"/>
          <w:tab w:val="left" w:pos="567"/>
        </w:tabs>
        <w:spacing w:before="240" w:after="120"/>
        <w:jc w:val="both"/>
        <w:rPr>
          <w:rFonts w:ascii="Arial" w:hAnsi="Arial" w:cs="Arial"/>
        </w:rPr>
      </w:pPr>
      <w:r w:rsidRPr="002C235D">
        <w:rPr>
          <w:rFonts w:ascii="Arial" w:hAnsi="Arial" w:cs="Arial"/>
          <w:color w:val="000000"/>
        </w:rPr>
        <w:t>2.2.</w:t>
      </w:r>
      <w:r w:rsidRPr="002C235D">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7F0E00" w:rsidRPr="002C235D" w:rsidRDefault="007F0E00" w:rsidP="007F0E00">
      <w:pPr>
        <w:tabs>
          <w:tab w:val="left" w:pos="284"/>
          <w:tab w:val="left" w:pos="567"/>
        </w:tabs>
        <w:spacing w:before="240" w:after="120"/>
        <w:jc w:val="both"/>
        <w:rPr>
          <w:rFonts w:ascii="Arial" w:hAnsi="Arial" w:cs="Arial"/>
        </w:rPr>
      </w:pPr>
      <w:r w:rsidRPr="002C235D">
        <w:rPr>
          <w:rFonts w:ascii="Arial" w:hAnsi="Arial" w:cs="Arial"/>
        </w:rPr>
        <w:t>2.3. A presente Ata de Registro de Preços poderá ser utilizada, para solicitações do respectivo objeto, por todos os Órgãos da Administração direta e indireta do Município.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7F0E00" w:rsidRPr="002C235D" w:rsidRDefault="007F0E00" w:rsidP="007F0E00">
      <w:pPr>
        <w:tabs>
          <w:tab w:val="left" w:pos="284"/>
          <w:tab w:val="left" w:pos="567"/>
        </w:tabs>
        <w:spacing w:before="240" w:after="120"/>
        <w:jc w:val="both"/>
        <w:rPr>
          <w:rFonts w:ascii="Arial" w:hAnsi="Arial" w:cs="Arial"/>
        </w:rPr>
      </w:pPr>
      <w:r w:rsidRPr="002C235D">
        <w:rPr>
          <w:rFonts w:ascii="Arial" w:hAnsi="Arial" w:cs="Arial"/>
          <w:color w:val="000000" w:themeColor="text1"/>
        </w:rPr>
        <w:t xml:space="preserve">2.5. </w:t>
      </w:r>
      <w:r w:rsidRPr="002C235D">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7F0E00" w:rsidRPr="002C235D" w:rsidRDefault="007F0E00" w:rsidP="007F0E00">
      <w:pPr>
        <w:tabs>
          <w:tab w:val="left" w:pos="284"/>
          <w:tab w:val="left" w:pos="567"/>
        </w:tabs>
        <w:spacing w:before="240" w:after="120"/>
        <w:jc w:val="both"/>
        <w:rPr>
          <w:rFonts w:ascii="Arial" w:hAnsi="Arial" w:cs="Arial"/>
          <w:b/>
        </w:rPr>
      </w:pPr>
      <w:r w:rsidRPr="002C235D">
        <w:rPr>
          <w:rFonts w:ascii="Arial" w:hAnsi="Arial" w:cs="Arial"/>
          <w:b/>
        </w:rPr>
        <w:t>III - DA AQUISICAO E DOTAÇÃO ORÇAMENTÁRIA</w:t>
      </w:r>
    </w:p>
    <w:p w:rsidR="007F0E00" w:rsidRPr="002C235D" w:rsidRDefault="007F0E00" w:rsidP="007F0E00">
      <w:pPr>
        <w:suppressAutoHyphens w:val="0"/>
        <w:spacing w:before="240" w:after="120"/>
        <w:jc w:val="both"/>
        <w:rPr>
          <w:rFonts w:ascii="Arial" w:hAnsi="Arial" w:cs="Arial"/>
          <w:lang w:eastAsia="pt-BR"/>
        </w:rPr>
      </w:pPr>
      <w:r w:rsidRPr="002C235D">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7F0E00" w:rsidRPr="002C235D" w:rsidRDefault="007F0E00" w:rsidP="007F0E00">
      <w:pPr>
        <w:tabs>
          <w:tab w:val="left" w:pos="1047"/>
        </w:tabs>
        <w:autoSpaceDE w:val="0"/>
        <w:spacing w:before="240" w:after="120"/>
        <w:jc w:val="both"/>
        <w:rPr>
          <w:rFonts w:ascii="Arial" w:hAnsi="Arial" w:cs="Arial"/>
        </w:rPr>
      </w:pPr>
      <w:r w:rsidRPr="002C235D">
        <w:rPr>
          <w:rFonts w:ascii="Arial" w:hAnsi="Arial" w:cs="Arial"/>
        </w:rPr>
        <w:t>3.2. As despesas decorrentes das aquisições correrão por conta da dotação orçamentárias do presente exercício e do exercício seguinte sendo aquelas descritas nas Autorizações de Fornecimento.</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IV – DOS PREÇOS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4.2. Os preços referidos constituirão, a qualquer título, a única e completa remuneração pela entrega dos produtos objeto desta Ata de Registro de Preços.</w:t>
      </w:r>
    </w:p>
    <w:p w:rsidR="007F0E00" w:rsidRPr="002C235D" w:rsidRDefault="007F0E00" w:rsidP="007F0E00">
      <w:pPr>
        <w:tabs>
          <w:tab w:val="left" w:pos="1047"/>
        </w:tabs>
        <w:autoSpaceDE w:val="0"/>
        <w:spacing w:before="240" w:after="120"/>
        <w:jc w:val="both"/>
        <w:rPr>
          <w:rFonts w:ascii="Arial" w:hAnsi="Arial" w:cs="Arial"/>
        </w:rPr>
      </w:pPr>
      <w:r w:rsidRPr="002C235D">
        <w:rPr>
          <w:rFonts w:ascii="Arial" w:hAnsi="Arial" w:cs="Arial"/>
        </w:rPr>
        <w:t>4.2.1. Os produtos com seus respectivos valores registrados integram a presente Ata de Registro de Preços em seu anexo ÚNICO.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V - REAJUSTES/REVISÕES DOS PREÇOS</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lastRenderedPageBreak/>
        <w:t>5.1. Na hipótese de sobrevirem fatos imprevisíveis ou previsíveis, porém de consequências incalculáveis, retardadores ou impeditivos da execução do ajustado, ou ainda, em caso de força maior, caso fortuito, ou fato de príncipe, configurando</w:t>
      </w:r>
      <w:r w:rsidRPr="002C235D">
        <w:rPr>
          <w:rFonts w:ascii="Arial" w:hAnsi="Arial" w:cs="Arial"/>
          <w:bCs/>
          <w:i/>
        </w:rPr>
        <w:t xml:space="preserve"> álea</w:t>
      </w:r>
      <w:r w:rsidRPr="002C235D">
        <w:rPr>
          <w:rFonts w:ascii="Arial" w:hAnsi="Arial" w:cs="Arial"/>
          <w:bCs/>
        </w:rPr>
        <w:t xml:space="preserve"> econômica extraordinária e extracontratual, a relação que as partes pactuaram inicialmente entre os encargos do Fornecedor Registrado e a retribuição do Município de MODELO para a justa remuneração dos materiais, poderá ser revisada, objetivando a manutenção do equilíbrio econômico-financeiro inicial da Ata de Registro de Preços.</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7F0E00" w:rsidRPr="002C235D" w:rsidRDefault="007F0E00" w:rsidP="007F0E00">
      <w:pPr>
        <w:autoSpaceDE w:val="0"/>
        <w:autoSpaceDN w:val="0"/>
        <w:adjustRightInd w:val="0"/>
        <w:spacing w:before="240" w:after="120"/>
        <w:jc w:val="both"/>
        <w:rPr>
          <w:rFonts w:ascii="Arial" w:hAnsi="Arial" w:cs="Arial"/>
          <w:bCs/>
        </w:rPr>
      </w:pPr>
      <w:r w:rsidRPr="002C235D">
        <w:rPr>
          <w:rFonts w:ascii="Arial" w:hAnsi="Arial" w:cs="Arial"/>
          <w:bCs/>
        </w:rPr>
        <w:t>5.6.2. Após a autorização de reajuste pelo município, será lavrado termo Aditivo com os novos preços a serem praticados.</w:t>
      </w:r>
    </w:p>
    <w:p w:rsidR="007F0E00" w:rsidRPr="002C235D" w:rsidRDefault="007F0E00" w:rsidP="007F0E00">
      <w:pPr>
        <w:autoSpaceDE w:val="0"/>
        <w:autoSpaceDN w:val="0"/>
        <w:adjustRightInd w:val="0"/>
        <w:spacing w:before="240" w:after="120"/>
        <w:jc w:val="both"/>
        <w:rPr>
          <w:rFonts w:ascii="Arial" w:hAnsi="Arial" w:cs="Arial"/>
          <w:b/>
        </w:rPr>
      </w:pPr>
      <w:r w:rsidRPr="002C235D">
        <w:rPr>
          <w:rFonts w:ascii="Arial" w:hAnsi="Arial" w:cs="Arial"/>
          <w:b/>
        </w:rPr>
        <w:t>VI - VALIDADE DA ATA DE REGISTRO DE PREÇOS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lastRenderedPageBreak/>
        <w:t>6.1. O prazo de validade da Ata de Registro de Preços será de 12 (doze) meses, a partir da data de sua assinatura.</w:t>
      </w:r>
    </w:p>
    <w:p w:rsidR="007F0E00" w:rsidRPr="002C235D" w:rsidRDefault="007F0E00" w:rsidP="007F0E00">
      <w:pPr>
        <w:spacing w:before="240" w:after="120"/>
        <w:jc w:val="both"/>
        <w:rPr>
          <w:rFonts w:ascii="Arial" w:hAnsi="Arial" w:cs="Arial"/>
          <w:b/>
        </w:rPr>
      </w:pPr>
      <w:r w:rsidRPr="002C235D">
        <w:rPr>
          <w:rFonts w:ascii="Arial" w:hAnsi="Arial" w:cs="Arial"/>
          <w:b/>
          <w:lang w:eastAsia="en-US"/>
        </w:rPr>
        <w:t xml:space="preserve">VII – </w:t>
      </w:r>
      <w:r w:rsidRPr="002C235D">
        <w:rPr>
          <w:rFonts w:ascii="Arial" w:hAnsi="Arial" w:cs="Arial"/>
          <w:b/>
        </w:rPr>
        <w:t>DA FORMA DE FORNECIMENTO E ENTREGA/EXECUÇÃO</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7.2. A empresa contratada deverá entregar os materiais/produtos nas condições e especificações constantes no Edital em especial o Termo de Referência e na Proposta Vencedora.</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7.5. Todos os produtos devem atender às normas e leis vigentes, principalmente aqueles destinados à Merenda Escolar.</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 xml:space="preserve">7.6. O produto a ser entregue deverá ser adequadamente acondicionado, de forma a permitir a completa preservação do mesmo e sua segurança durante o transporte. </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7.7. Os produtos deverão ser entregues nos locais indicados sem custo de frete para o Município</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 xml:space="preserve">7.9. Todos os produtos serão recebidos e conferidos, por funcionários designados/informados pela Prefeitura Municipal de </w:t>
      </w:r>
      <w:r w:rsidRPr="002C235D">
        <w:rPr>
          <w:rFonts w:ascii="Arial" w:hAnsi="Arial" w:cs="Arial"/>
          <w:bCs/>
          <w:sz w:val="24"/>
        </w:rPr>
        <w:t>Serra Azul de Minas/MG</w:t>
      </w:r>
      <w:r w:rsidRPr="002C235D">
        <w:rPr>
          <w:rFonts w:ascii="Arial" w:hAnsi="Arial" w:cs="Arial"/>
          <w:sz w:val="24"/>
        </w:rPr>
        <w:t>, que rejeitarão os que não estiverem de acordo com os pedidos de fornecimento quanto às especificações, quantidades e qualidade.</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t>7.10. A Contratada/Detentora ficará obrigada a trocar, às suas expensas, o material que vier a ser recusado, sendo que o simples ato do recebimento não importará a sua aceitação.</w:t>
      </w:r>
    </w:p>
    <w:p w:rsidR="007F0E00" w:rsidRPr="002C235D" w:rsidRDefault="007F0E00" w:rsidP="007F0E00">
      <w:pPr>
        <w:pStyle w:val="Corpodetexto"/>
        <w:spacing w:before="240" w:after="120"/>
        <w:rPr>
          <w:rFonts w:ascii="Arial" w:hAnsi="Arial" w:cs="Arial"/>
          <w:sz w:val="24"/>
        </w:rPr>
      </w:pPr>
      <w:r w:rsidRPr="002C235D">
        <w:rPr>
          <w:rFonts w:ascii="Arial" w:hAnsi="Arial" w:cs="Arial"/>
          <w:sz w:val="24"/>
        </w:rPr>
        <w:lastRenderedPageBreak/>
        <w:t>7.10.1. No momento da entrega o material que apresentar qualquer imperfeição ou estar em desacordo com o solicitado deverá ser substituído no prazo máximo de 05 (cinco) dias, contados da comunicação feita pelo setor requisitante.</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7.11 - Corre por conta da detentora qualquer prejuízo causado ao material em decorrência do transporte.</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VIII - DAS CONDIÇÕES DE PAGAMENTO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 xml:space="preserve">8.1 - O prazo para pagamento será de </w:t>
      </w:r>
      <w:r w:rsidRPr="002C235D">
        <w:rPr>
          <w:rFonts w:ascii="Arial" w:hAnsi="Arial" w:cs="Arial"/>
          <w:snapToGrid w:val="0"/>
        </w:rPr>
        <w:t>até</w:t>
      </w:r>
      <w:r w:rsidRPr="002C235D">
        <w:rPr>
          <w:rFonts w:ascii="Arial" w:hAnsi="Arial" w:cs="Arial"/>
        </w:rPr>
        <w:t xml:space="preserve"> 30 (trinta) dias a contar da data final do período de adimplemento de cada parcela, ou do objeto do contrato, em caso de entrega única.</w:t>
      </w:r>
    </w:p>
    <w:p w:rsidR="007F0E00" w:rsidRPr="002C235D" w:rsidRDefault="007F0E00" w:rsidP="007F0E00">
      <w:pPr>
        <w:spacing w:before="240" w:after="120"/>
        <w:ind w:firstLine="709"/>
        <w:jc w:val="both"/>
        <w:rPr>
          <w:rFonts w:ascii="Arial" w:hAnsi="Arial" w:cs="Arial"/>
          <w:snapToGrid w:val="0"/>
        </w:rPr>
      </w:pPr>
      <w:r w:rsidRPr="002C235D">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7F0E00" w:rsidRPr="002C235D" w:rsidRDefault="007F0E00" w:rsidP="007F0E00">
      <w:pPr>
        <w:spacing w:before="240" w:after="120"/>
        <w:ind w:firstLine="709"/>
        <w:jc w:val="both"/>
        <w:rPr>
          <w:rFonts w:ascii="Arial" w:hAnsi="Arial" w:cs="Arial"/>
          <w:snapToGrid w:val="0"/>
        </w:rPr>
      </w:pPr>
      <w:r w:rsidRPr="002C235D">
        <w:rPr>
          <w:rFonts w:ascii="Arial" w:hAnsi="Arial" w:cs="Arial"/>
          <w:snapToGrid w:val="0"/>
        </w:rPr>
        <w:t xml:space="preserve">§ 2° - Os preços poderão ser corrigidos a cada trimestre, conforme estabelecido no instrumento convocatório. </w:t>
      </w:r>
    </w:p>
    <w:p w:rsidR="007F0E00" w:rsidRPr="002C235D" w:rsidRDefault="007F0E00" w:rsidP="007F0E00">
      <w:pPr>
        <w:spacing w:before="240" w:after="120"/>
        <w:ind w:firstLine="709"/>
        <w:jc w:val="both"/>
        <w:rPr>
          <w:rFonts w:ascii="Arial" w:hAnsi="Arial" w:cs="Arial"/>
          <w:snapToGrid w:val="0"/>
        </w:rPr>
      </w:pPr>
      <w:r w:rsidRPr="002C235D">
        <w:rPr>
          <w:rFonts w:ascii="Arial" w:hAnsi="Arial" w:cs="Arial"/>
          <w:snapToGrid w:val="0"/>
        </w:rPr>
        <w:t>§ 3° - Em caso do proponente não enviar nova tabela a cada trimestre, fica tendo validade à tabela anterior.</w:t>
      </w:r>
    </w:p>
    <w:p w:rsidR="007F0E00" w:rsidRPr="002C235D" w:rsidRDefault="007F0E00" w:rsidP="007F0E00">
      <w:pPr>
        <w:spacing w:before="240" w:after="120"/>
        <w:ind w:firstLine="709"/>
        <w:jc w:val="both"/>
        <w:rPr>
          <w:rFonts w:ascii="Arial" w:hAnsi="Arial" w:cs="Arial"/>
          <w:snapToGrid w:val="0"/>
        </w:rPr>
      </w:pPr>
      <w:r w:rsidRPr="002C235D">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7F0E00" w:rsidRPr="002C235D" w:rsidRDefault="007F0E00" w:rsidP="007F0E00">
      <w:pPr>
        <w:autoSpaceDE w:val="0"/>
        <w:autoSpaceDN w:val="0"/>
        <w:adjustRightInd w:val="0"/>
        <w:spacing w:before="240" w:after="120"/>
        <w:jc w:val="both"/>
        <w:rPr>
          <w:rFonts w:ascii="Arial" w:hAnsi="Arial" w:cs="Arial"/>
          <w:snapToGrid w:val="0"/>
        </w:rPr>
      </w:pPr>
      <w:r w:rsidRPr="002C235D">
        <w:rPr>
          <w:rFonts w:ascii="Arial" w:hAnsi="Arial" w:cs="Arial"/>
        </w:rPr>
        <w:t xml:space="preserve">8.2. </w:t>
      </w:r>
      <w:r w:rsidRPr="002C235D">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 xml:space="preserve">8.3. Os pedidos de pagamentos deverão vir devidamente instruídos com a seguinte documentação:  </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8.3.1. Cópia da requisição do fornecimento do material;</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8.3.2. 1ª via da Nota Fiscal ou Nota Fiscal - Fatura;</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8.3.3. Fatura, no caso de Nota Fiscal;</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8.3.4. Cópia reprográfica da Nota de Empenho;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8.3.5. Na hipótese de existir nota suplementar de empenho, cópia(s) da(s) mesma(s) deverá(ão) acompanhar os demais documentos.</w:t>
      </w:r>
    </w:p>
    <w:p w:rsidR="007F0E00" w:rsidRPr="002C235D" w:rsidRDefault="007F0E00" w:rsidP="007F0E00">
      <w:pPr>
        <w:shd w:val="clear" w:color="auto" w:fill="D9D9D9"/>
        <w:tabs>
          <w:tab w:val="left" w:pos="5812"/>
        </w:tabs>
        <w:autoSpaceDE w:val="0"/>
        <w:autoSpaceDN w:val="0"/>
        <w:adjustRightInd w:val="0"/>
        <w:spacing w:before="240" w:after="120"/>
        <w:jc w:val="both"/>
        <w:rPr>
          <w:rFonts w:ascii="Arial" w:hAnsi="Arial" w:cs="Arial"/>
          <w:color w:val="000000"/>
        </w:rPr>
      </w:pPr>
      <w:r w:rsidRPr="002C235D">
        <w:rPr>
          <w:rFonts w:ascii="Arial" w:hAnsi="Arial" w:cs="Arial"/>
          <w:color w:val="000000"/>
        </w:rPr>
        <w:lastRenderedPageBreak/>
        <w:t xml:space="preserve">8.4. Nos termos do inciso XV do art. 78 da Lei 8.666/93, o licitante deverá cumprir a ordem de fornecimento ou documento equivalente, mesmo estando o Município em débito para com a Contratada, até o prazo de </w:t>
      </w:r>
      <w:r w:rsidRPr="002C235D">
        <w:rPr>
          <w:rFonts w:ascii="Arial" w:hAnsi="Arial" w:cs="Arial"/>
        </w:rPr>
        <w:t>90 (noventa) dias. Após esse período, poderá a mesma optar pela rescisão contratual.</w:t>
      </w:r>
    </w:p>
    <w:p w:rsidR="007F0E00" w:rsidRPr="002C235D" w:rsidRDefault="007F0E00" w:rsidP="007F0E00">
      <w:pPr>
        <w:autoSpaceDE w:val="0"/>
        <w:autoSpaceDN w:val="0"/>
        <w:adjustRightInd w:val="0"/>
        <w:spacing w:before="240" w:after="120"/>
        <w:jc w:val="both"/>
        <w:rPr>
          <w:rFonts w:ascii="Arial" w:hAnsi="Arial" w:cs="Arial"/>
          <w:snapToGrid w:val="0"/>
        </w:rPr>
      </w:pPr>
      <w:r w:rsidRPr="002C235D">
        <w:rPr>
          <w:rFonts w:ascii="Arial" w:hAnsi="Arial" w:cs="Arial"/>
        </w:rPr>
        <w:t xml:space="preserve">8.5. </w:t>
      </w:r>
      <w:r w:rsidRPr="002C235D">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8.6 - Quaisquer pagamentos não isentarão a Contratada das responsabilidades contratuais, nem implicarão na aceitação dos materiais.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8.7 - Por ocasião de cada pagamento, serão efetuadas as retenções cabíveis, nos termos da legislação específica aplicável.</w:t>
      </w:r>
    </w:p>
    <w:p w:rsidR="007F0E00" w:rsidRPr="002C235D" w:rsidRDefault="007F0E00" w:rsidP="007F0E00">
      <w:pPr>
        <w:suppressAutoHyphens w:val="0"/>
        <w:autoSpaceDE w:val="0"/>
        <w:autoSpaceDN w:val="0"/>
        <w:adjustRightInd w:val="0"/>
        <w:spacing w:before="240" w:after="120"/>
        <w:jc w:val="both"/>
        <w:rPr>
          <w:rFonts w:ascii="Arial" w:hAnsi="Arial" w:cs="Arial"/>
          <w:b/>
          <w:lang w:eastAsia="en-US"/>
        </w:rPr>
      </w:pPr>
      <w:r w:rsidRPr="002C235D">
        <w:rPr>
          <w:rFonts w:ascii="Arial" w:hAnsi="Arial" w:cs="Arial"/>
          <w:b/>
          <w:lang w:eastAsia="en-US"/>
        </w:rPr>
        <w:t>IX - OBRIGAÇOES DA CONTRATADA/DETENTORA</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9.1. Cumprir, dentro dos prazos estabelecidos, as obrigações expressamente previstas neste instrumento.</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9.2. Zelar e garantir a boa qualidade do fornecimento, em consonância com os parâmetros de qualidade fixados e exigidos pelas normas técnicas pertinentes, expedidas pelo Poder Público;</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9.3. Responsabilizar-se pelo transporte do produto de seu estabelecimento até o local determinado pela Contratante, bem como pelo seu descarregamento e acondicionamento;</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9.6. Permitir o acesso à documentos necessários e pertinentes pela Prefeitura e Órgão concedentes de Convênios.</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lastRenderedPageBreak/>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9.9. Em tudo agir, segundo as diretrizes da PREFEITURA.</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9.10. Manter durante a execução do Contrato/Ata, todas as condições de  habilitação  exigidas para contratação, previstas na legislação em vigor.</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7F0E00" w:rsidRPr="002C235D" w:rsidRDefault="007F0E00" w:rsidP="007F0E00">
      <w:pPr>
        <w:suppressAutoHyphens w:val="0"/>
        <w:autoSpaceDE w:val="0"/>
        <w:autoSpaceDN w:val="0"/>
        <w:adjustRightInd w:val="0"/>
        <w:spacing w:before="240" w:after="120"/>
        <w:jc w:val="both"/>
        <w:rPr>
          <w:rFonts w:ascii="Arial" w:hAnsi="Arial" w:cs="Arial"/>
        </w:rPr>
      </w:pPr>
      <w:r w:rsidRPr="002C235D">
        <w:rPr>
          <w:rFonts w:ascii="Arial" w:hAnsi="Arial" w:cs="Arial"/>
        </w:rPr>
        <w:t>9.14. Assinar Contrato ou documento equivalente originário da Ata de Registro de Preços.</w:t>
      </w:r>
    </w:p>
    <w:p w:rsidR="007F0E00" w:rsidRPr="002C235D" w:rsidRDefault="007F0E00" w:rsidP="007F0E00">
      <w:pPr>
        <w:suppressAutoHyphens w:val="0"/>
        <w:autoSpaceDE w:val="0"/>
        <w:autoSpaceDN w:val="0"/>
        <w:adjustRightInd w:val="0"/>
        <w:spacing w:before="240" w:after="120"/>
        <w:jc w:val="both"/>
        <w:rPr>
          <w:rFonts w:ascii="Arial" w:hAnsi="Arial" w:cs="Arial"/>
          <w:b/>
          <w:lang w:eastAsia="en-US"/>
        </w:rPr>
      </w:pPr>
      <w:r w:rsidRPr="002C235D">
        <w:rPr>
          <w:rFonts w:ascii="Arial" w:hAnsi="Arial" w:cs="Arial"/>
          <w:b/>
          <w:lang w:eastAsia="en-US"/>
        </w:rPr>
        <w:t>X - OBRIGAÇÕES DA CONTRATANTE/PREFEITURA</w:t>
      </w:r>
    </w:p>
    <w:p w:rsidR="007F0E00" w:rsidRPr="002C235D" w:rsidRDefault="007F0E00" w:rsidP="007F0E00">
      <w:pPr>
        <w:autoSpaceDE w:val="0"/>
        <w:autoSpaceDN w:val="0"/>
        <w:adjustRightInd w:val="0"/>
        <w:spacing w:before="240" w:after="120"/>
        <w:jc w:val="both"/>
        <w:rPr>
          <w:rFonts w:ascii="Arial" w:hAnsi="Arial" w:cs="Arial"/>
          <w:lang w:eastAsia="en-US"/>
        </w:rPr>
      </w:pPr>
      <w:r w:rsidRPr="002C235D">
        <w:rPr>
          <w:rFonts w:ascii="Arial" w:hAnsi="Arial" w:cs="Arial"/>
          <w:lang w:eastAsia="en-US"/>
        </w:rPr>
        <w:t>10.1. Receber e conferir os produtos quando da entrega pela Contratada;</w:t>
      </w:r>
    </w:p>
    <w:p w:rsidR="007F0E00" w:rsidRPr="002C235D" w:rsidRDefault="007F0E00" w:rsidP="007F0E00">
      <w:pPr>
        <w:autoSpaceDE w:val="0"/>
        <w:autoSpaceDN w:val="0"/>
        <w:adjustRightInd w:val="0"/>
        <w:spacing w:before="240" w:after="120"/>
        <w:jc w:val="both"/>
        <w:rPr>
          <w:rFonts w:ascii="Arial" w:hAnsi="Arial" w:cs="Arial"/>
          <w:lang w:eastAsia="en-US"/>
        </w:rPr>
      </w:pPr>
      <w:r w:rsidRPr="002C235D">
        <w:rPr>
          <w:rFonts w:ascii="Arial" w:hAnsi="Arial" w:cs="Arial"/>
          <w:lang w:eastAsia="en-US"/>
        </w:rPr>
        <w:t>10.2. Comunicar e exigir a correção imediata de qualquer anormalidade nos produtos por ela (Contratada/Detentora) fornecidos.</w:t>
      </w:r>
    </w:p>
    <w:p w:rsidR="007F0E00" w:rsidRPr="002C235D" w:rsidRDefault="007F0E00" w:rsidP="007F0E00">
      <w:pPr>
        <w:autoSpaceDE w:val="0"/>
        <w:autoSpaceDN w:val="0"/>
        <w:adjustRightInd w:val="0"/>
        <w:spacing w:before="240" w:after="120"/>
        <w:jc w:val="both"/>
        <w:rPr>
          <w:rFonts w:ascii="Arial" w:hAnsi="Arial" w:cs="Arial"/>
          <w:lang w:eastAsia="en-US"/>
        </w:rPr>
      </w:pPr>
      <w:r w:rsidRPr="002C235D">
        <w:rPr>
          <w:rFonts w:ascii="Arial" w:hAnsi="Arial" w:cs="Arial"/>
          <w:lang w:eastAsia="en-US"/>
        </w:rPr>
        <w:t>10.3. Efetuar o pagamento de acordo com o estabelecido neste Instrumento.</w:t>
      </w:r>
    </w:p>
    <w:p w:rsidR="007F0E00" w:rsidRPr="002C235D" w:rsidRDefault="007F0E00" w:rsidP="007F0E00">
      <w:pPr>
        <w:autoSpaceDE w:val="0"/>
        <w:autoSpaceDN w:val="0"/>
        <w:adjustRightInd w:val="0"/>
        <w:spacing w:before="240" w:after="120"/>
        <w:jc w:val="both"/>
        <w:rPr>
          <w:rFonts w:ascii="Arial" w:hAnsi="Arial" w:cs="Arial"/>
          <w:lang w:eastAsia="en-US"/>
        </w:rPr>
      </w:pPr>
      <w:r w:rsidRPr="002C235D">
        <w:rPr>
          <w:rFonts w:ascii="Arial" w:hAnsi="Arial" w:cs="Arial"/>
          <w:lang w:eastAsia="en-US"/>
        </w:rPr>
        <w:t>10.4. Proceder, sempre que julgar necessário, a análise (teste de qualidade) do produto fornecido pela Contratada para fins de verificação de qualidade.</w:t>
      </w:r>
    </w:p>
    <w:p w:rsidR="007F0E00" w:rsidRPr="002C235D" w:rsidRDefault="007F0E00" w:rsidP="007F0E00">
      <w:pPr>
        <w:autoSpaceDE w:val="0"/>
        <w:autoSpaceDN w:val="0"/>
        <w:adjustRightInd w:val="0"/>
        <w:spacing w:before="240" w:after="120"/>
        <w:jc w:val="both"/>
        <w:rPr>
          <w:rFonts w:ascii="Arial" w:hAnsi="Arial" w:cs="Arial"/>
          <w:lang w:eastAsia="en-US"/>
        </w:rPr>
      </w:pPr>
      <w:r w:rsidRPr="002C235D">
        <w:rPr>
          <w:rFonts w:ascii="Arial" w:hAnsi="Arial" w:cs="Arial"/>
          <w:lang w:eastAsia="en-US"/>
        </w:rPr>
        <w:t>10.5. Notificar a Contratada/Detentora, fixando prazo para correção das irregularidades ou defeitos encontrados.</w:t>
      </w:r>
    </w:p>
    <w:p w:rsidR="007F0E00" w:rsidRPr="002C235D" w:rsidRDefault="007F0E00" w:rsidP="007F0E00">
      <w:pPr>
        <w:autoSpaceDE w:val="0"/>
        <w:autoSpaceDN w:val="0"/>
        <w:adjustRightInd w:val="0"/>
        <w:spacing w:before="240" w:after="120"/>
        <w:jc w:val="both"/>
        <w:rPr>
          <w:rFonts w:ascii="Arial" w:hAnsi="Arial" w:cs="Arial"/>
          <w:lang w:eastAsia="en-US"/>
        </w:rPr>
      </w:pPr>
      <w:r w:rsidRPr="002C235D">
        <w:rPr>
          <w:rFonts w:ascii="Arial" w:hAnsi="Arial" w:cs="Arial"/>
          <w:lang w:eastAsia="en-US"/>
        </w:rPr>
        <w:t>10.6. Observar o disposto no Edital do Pregão Presencial.</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XI - PENALIDADES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7F0E00" w:rsidRPr="002C235D" w:rsidRDefault="007F0E00" w:rsidP="007F0E00">
      <w:pPr>
        <w:spacing w:before="240" w:after="120"/>
        <w:jc w:val="both"/>
        <w:rPr>
          <w:rFonts w:ascii="Arial" w:hAnsi="Arial" w:cs="Arial"/>
        </w:rPr>
      </w:pPr>
      <w:r w:rsidRPr="002C235D">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 xml:space="preserve">11.1.1.1. Incide na mesma multa prevista no subitem anterior a detentora que estiver impedida de assinar o Termo de Contrato ou retirar a Nota de Empenho </w:t>
      </w:r>
      <w:r w:rsidRPr="002C235D">
        <w:rPr>
          <w:rFonts w:ascii="Arial" w:hAnsi="Arial" w:cs="Arial"/>
        </w:rPr>
        <w:lastRenderedPageBreak/>
        <w:t>pela não apresentação dos documentos devidamente atualizados quando solicitado.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11.1.3. Multa pela entrega de material em desconformidade com as condições desta Ata: 15% (quinze inteiros por cento) sobre o valor do material a ser entregue, independentemente da obrigação de trocá-lo.</w:t>
      </w:r>
    </w:p>
    <w:p w:rsidR="007F0E00" w:rsidRPr="002C235D" w:rsidRDefault="007F0E00" w:rsidP="007F0E00">
      <w:pPr>
        <w:spacing w:before="240" w:after="120"/>
        <w:rPr>
          <w:rFonts w:ascii="Arial" w:hAnsi="Arial" w:cs="Arial"/>
        </w:rPr>
      </w:pPr>
      <w:r w:rsidRPr="002C235D">
        <w:rPr>
          <w:rFonts w:ascii="Arial" w:hAnsi="Arial" w:cs="Arial"/>
        </w:rPr>
        <w:t>11.1.4. Multa por descumprimento de cláusula contratual e/ou exigência da Unidade Requisitante: 1,0% (um inteiro por cento) sobre o valor da Nota de Empenho.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11.1.6. Multa pela inexecução total da Ata: 20,0% (vinte inteiros por cento) sobre o seu valor;</w:t>
      </w:r>
    </w:p>
    <w:p w:rsidR="007F0E00" w:rsidRPr="002C235D" w:rsidRDefault="007F0E00" w:rsidP="007F0E00">
      <w:pPr>
        <w:tabs>
          <w:tab w:val="left" w:pos="284"/>
          <w:tab w:val="left" w:pos="567"/>
        </w:tabs>
        <w:spacing w:before="240" w:after="120"/>
        <w:jc w:val="both"/>
        <w:rPr>
          <w:rFonts w:ascii="Arial" w:hAnsi="Arial" w:cs="Arial"/>
        </w:rPr>
      </w:pPr>
      <w:r w:rsidRPr="002C235D">
        <w:rPr>
          <w:rFonts w:ascii="Arial" w:hAnsi="Arial" w:cs="Arial"/>
        </w:rPr>
        <w:t xml:space="preserve">11.1.7. Sanção de suspensão temporária do direito de licitar e contratar com a Prefeitura de </w:t>
      </w:r>
      <w:r w:rsidRPr="002C235D">
        <w:rPr>
          <w:rFonts w:ascii="Arial" w:hAnsi="Arial" w:cs="Arial"/>
          <w:color w:val="000000"/>
        </w:rPr>
        <w:t>MODELO-MG,</w:t>
      </w:r>
      <w:r w:rsidRPr="002C235D">
        <w:rPr>
          <w:rFonts w:ascii="Arial" w:hAnsi="Arial" w:cs="Arial"/>
        </w:rPr>
        <w:t xml:space="preserve"> pelo prazo de até 05 (cinco) anos, por falha ou fraude na execução do objeto do contrato.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11.2. As sanções são independentes e a aplicação de uma não exclui a das outras.</w:t>
      </w:r>
    </w:p>
    <w:p w:rsidR="007F0E00" w:rsidRPr="002C235D" w:rsidRDefault="007F0E00" w:rsidP="007F0E00">
      <w:pPr>
        <w:tabs>
          <w:tab w:val="left" w:pos="284"/>
          <w:tab w:val="left" w:pos="567"/>
        </w:tabs>
        <w:spacing w:before="240" w:after="120"/>
        <w:jc w:val="both"/>
        <w:rPr>
          <w:rFonts w:ascii="Arial" w:hAnsi="Arial" w:cs="Arial"/>
        </w:rPr>
      </w:pPr>
      <w:r w:rsidRPr="002C235D">
        <w:rPr>
          <w:rFonts w:ascii="Arial" w:hAnsi="Arial" w:cs="Arial"/>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2C235D">
        <w:rPr>
          <w:rFonts w:ascii="Arial" w:hAnsi="Arial" w:cs="Arial"/>
          <w:bCs/>
        </w:rPr>
        <w:t>Serra Azul de Minas-MG</w:t>
      </w:r>
      <w:r w:rsidRPr="002C235D">
        <w:rPr>
          <w:rFonts w:ascii="Arial" w:hAnsi="Arial" w:cs="Arial"/>
        </w:rPr>
        <w:t>. Não havendo pagamento pela empresa, o valor será inscrito como dívida ativa, sujeitando-se ao processo executivo.</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XII - CANCELAMENTO DA ATA DE REGISTRO DE PREÇOS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12.1. Ocorrendo qualquer das hipóteses previstas da Lei Federal 8.666/93 e posteriores alterações, a presente Ata de Registro de Preços será cancelada, garantidos, às suas detentoras, o contraditório e a ampla defesa quando: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lastRenderedPageBreak/>
        <w:t>12.1.1. A Detentora não cumprir as obrigações constantes da Ata de Registro de Preços e da legislação, notadamente nas hipóteses de inexecução total ou parcial ou rescisão dos ajustes dela decorrentes;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12.1.2. A Detentora não formalizar o Termo de Contrato, quando cabível, decorrente da Ata de Registro de Preços ou não retirar o instrumento equivalente no prazo estabelecido, sem justificativa aceitável;</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12.1.3. A Detentora não aceitar reduzir os seus preços registrados na hipótese de tornarem-se superiores aos praticados no mercado;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12.1.4. Por razões de interesse público, devidamente justificado pela Administração.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12.2.A comunicação do cancelamento do preço registrado será feita pessoalmente ou por outro tipo de aviso.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12.3. Esta Ata de Registro de Preços poderá ser cancelada nas hipóteses previstas para a rescisão dos contratos em geral.</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XIII - AUTORIZAÇÃO PARA UTILIZAÇÃO DA ATA E EMISSÃO DO EMPENHO</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13.1. Caberá à Secretaria Municipal de Administração  por meio do Setor de Compras, o gerenciamento, a administração e o controle do Sistema de Registro de Preços devendo proceder conforme Decreto Municipal N°056/2017(que regulamenta o SRP)</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13.3. O cancelamento total ou parcial do empenho obedecerá a mesma regra.</w:t>
      </w:r>
    </w:p>
    <w:p w:rsidR="007F0E00" w:rsidRPr="002C235D" w:rsidRDefault="007F0E00" w:rsidP="007F0E00">
      <w:pPr>
        <w:autoSpaceDE w:val="0"/>
        <w:autoSpaceDN w:val="0"/>
        <w:adjustRightInd w:val="0"/>
        <w:spacing w:before="240" w:after="120"/>
        <w:jc w:val="both"/>
        <w:rPr>
          <w:rFonts w:ascii="Arial" w:hAnsi="Arial" w:cs="Arial"/>
          <w:b/>
          <w:bCs/>
        </w:rPr>
      </w:pPr>
      <w:r w:rsidRPr="002C235D">
        <w:rPr>
          <w:rFonts w:ascii="Arial" w:hAnsi="Arial" w:cs="Arial"/>
          <w:b/>
          <w:bCs/>
        </w:rPr>
        <w:t>XIV - DISPOSIÇÕES GERAIS</w:t>
      </w:r>
    </w:p>
    <w:p w:rsidR="007F0E00" w:rsidRPr="002C235D" w:rsidRDefault="007F0E00" w:rsidP="007F0E00">
      <w:pPr>
        <w:autoSpaceDE w:val="0"/>
        <w:autoSpaceDN w:val="0"/>
        <w:adjustRightInd w:val="0"/>
        <w:spacing w:before="240" w:after="120"/>
        <w:jc w:val="both"/>
        <w:rPr>
          <w:rFonts w:ascii="Arial" w:hAnsi="Arial" w:cs="Arial"/>
        </w:rPr>
      </w:pPr>
      <w:r w:rsidRPr="002C235D">
        <w:rPr>
          <w:rFonts w:ascii="Arial" w:hAnsi="Arial" w:cs="Arial"/>
        </w:rPr>
        <w:t xml:space="preserve">14.1 - </w:t>
      </w:r>
      <w:r w:rsidRPr="002C235D">
        <w:rPr>
          <w:rFonts w:ascii="Arial" w:hAnsi="Arial" w:cs="Arial"/>
          <w:b/>
        </w:rPr>
        <w:t>A existência de preços registrados não obriga a Administração a firmar as contratações de que deles poderão advir</w:t>
      </w:r>
      <w:r w:rsidRPr="002C235D">
        <w:rPr>
          <w:rFonts w:ascii="Arial" w:hAnsi="Arial" w:cs="Arial"/>
        </w:rPr>
        <w:t>, facultada a realização de licitação específica para a aquisição pretendida, devidamente justificada, sendo assegurada ao detentor do registro de preços a preferência em igualdade de condições.</w:t>
      </w:r>
    </w:p>
    <w:p w:rsidR="007F0E00" w:rsidRPr="0088592F" w:rsidRDefault="007F0E00" w:rsidP="007F0E00">
      <w:pPr>
        <w:autoSpaceDE w:val="0"/>
        <w:autoSpaceDN w:val="0"/>
        <w:adjustRightInd w:val="0"/>
        <w:spacing w:before="240" w:after="120"/>
        <w:jc w:val="both"/>
        <w:rPr>
          <w:rFonts w:ascii="Arial" w:hAnsi="Arial" w:cs="Arial"/>
          <w:sz w:val="22"/>
          <w:szCs w:val="22"/>
        </w:rPr>
      </w:pPr>
      <w:r w:rsidRPr="0088592F">
        <w:rPr>
          <w:rFonts w:ascii="Arial" w:hAnsi="Arial" w:cs="Arial"/>
          <w:sz w:val="22"/>
          <w:szCs w:val="22"/>
        </w:rPr>
        <w:lastRenderedPageBreak/>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7F0E00" w:rsidRPr="0088592F" w:rsidRDefault="007F0E00" w:rsidP="007F0E00">
      <w:pPr>
        <w:autoSpaceDE w:val="0"/>
        <w:autoSpaceDN w:val="0"/>
        <w:adjustRightInd w:val="0"/>
        <w:spacing w:before="240" w:after="120"/>
        <w:jc w:val="both"/>
        <w:rPr>
          <w:rFonts w:ascii="Arial" w:hAnsi="Arial" w:cs="Arial"/>
          <w:sz w:val="22"/>
          <w:szCs w:val="22"/>
        </w:rPr>
      </w:pPr>
      <w:r w:rsidRPr="0088592F">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7F0E00" w:rsidRPr="0088592F" w:rsidRDefault="007F0E00" w:rsidP="007F0E00">
      <w:pPr>
        <w:autoSpaceDE w:val="0"/>
        <w:autoSpaceDN w:val="0"/>
        <w:adjustRightInd w:val="0"/>
        <w:spacing w:before="240" w:after="120"/>
        <w:jc w:val="both"/>
        <w:rPr>
          <w:rFonts w:ascii="Arial" w:hAnsi="Arial" w:cs="Arial"/>
          <w:sz w:val="22"/>
          <w:szCs w:val="22"/>
        </w:rPr>
      </w:pPr>
      <w:r w:rsidRPr="0088592F">
        <w:rPr>
          <w:rFonts w:ascii="Arial" w:hAnsi="Arial" w:cs="Arial"/>
          <w:sz w:val="22"/>
          <w:szCs w:val="22"/>
        </w:rPr>
        <w:t>14.4 - A Ata de Registro de Preços, os ajustes dela decorrentes, suas alterações e rescisões obedecerão ao Decreto N° 056/2017(que regulamenta o Sistema de Registro de preços em ambito municipal), Lei Federal nº 8.666/93, demais normas complementares e disposições desta Ata e do Edital que a precedeu, aplicáveis à execução dos contratos e especialmente aos casos omissos.</w:t>
      </w:r>
    </w:p>
    <w:p w:rsidR="007F0E00" w:rsidRPr="0088592F" w:rsidRDefault="007F0E00" w:rsidP="0088592F">
      <w:pPr>
        <w:autoSpaceDE w:val="0"/>
        <w:autoSpaceDN w:val="0"/>
        <w:adjustRightInd w:val="0"/>
        <w:spacing w:before="240" w:after="120"/>
        <w:jc w:val="both"/>
        <w:rPr>
          <w:rFonts w:ascii="Arial" w:hAnsi="Arial" w:cs="Arial"/>
          <w:sz w:val="22"/>
          <w:szCs w:val="22"/>
        </w:rPr>
      </w:pPr>
      <w:r w:rsidRPr="0088592F">
        <w:rPr>
          <w:rFonts w:ascii="Arial" w:hAnsi="Arial" w:cs="Arial"/>
          <w:sz w:val="22"/>
          <w:szCs w:val="22"/>
        </w:rPr>
        <w:t>14.5 - Fazem parte integrante desta Ata, para todos os efeitos legais, o Edital de Licitação nº 005 /17, seus Anexos e a Ata da Sessão Pública do Pregão Presencial.</w:t>
      </w:r>
    </w:p>
    <w:p w:rsidR="007F0E00" w:rsidRPr="0088592F" w:rsidRDefault="007F0E00" w:rsidP="007F0E00">
      <w:pPr>
        <w:tabs>
          <w:tab w:val="left" w:pos="284"/>
          <w:tab w:val="left" w:pos="567"/>
        </w:tabs>
        <w:spacing w:before="240" w:after="120"/>
        <w:jc w:val="both"/>
        <w:rPr>
          <w:rFonts w:ascii="Arial" w:hAnsi="Arial" w:cs="Arial"/>
          <w:b/>
          <w:sz w:val="22"/>
          <w:szCs w:val="22"/>
        </w:rPr>
      </w:pPr>
      <w:r w:rsidRPr="0088592F">
        <w:rPr>
          <w:rFonts w:ascii="Arial" w:hAnsi="Arial" w:cs="Arial"/>
          <w:b/>
          <w:sz w:val="22"/>
          <w:szCs w:val="22"/>
        </w:rPr>
        <w:t>XV – DO FORO</w:t>
      </w:r>
    </w:p>
    <w:p w:rsidR="007F0E00" w:rsidRPr="0088592F" w:rsidRDefault="007F0E00" w:rsidP="007F0E00">
      <w:pPr>
        <w:tabs>
          <w:tab w:val="left" w:pos="284"/>
          <w:tab w:val="left" w:pos="567"/>
        </w:tabs>
        <w:spacing w:before="240" w:after="120"/>
        <w:jc w:val="both"/>
        <w:rPr>
          <w:rFonts w:ascii="Arial" w:hAnsi="Arial" w:cs="Arial"/>
          <w:sz w:val="22"/>
          <w:szCs w:val="22"/>
        </w:rPr>
      </w:pPr>
      <w:r w:rsidRPr="0088592F">
        <w:rPr>
          <w:rFonts w:ascii="Arial" w:hAnsi="Arial" w:cs="Arial"/>
          <w:sz w:val="22"/>
          <w:szCs w:val="22"/>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7F0E00" w:rsidRPr="0088592F" w:rsidRDefault="007F0E00" w:rsidP="007F0E00">
      <w:pPr>
        <w:spacing w:before="240" w:after="120"/>
        <w:ind w:firstLine="709"/>
        <w:jc w:val="both"/>
        <w:rPr>
          <w:rFonts w:ascii="Arial" w:hAnsi="Arial" w:cs="Arial"/>
          <w:sz w:val="22"/>
          <w:szCs w:val="22"/>
        </w:rPr>
      </w:pPr>
      <w:r w:rsidRPr="0088592F">
        <w:rPr>
          <w:rFonts w:ascii="Arial" w:hAnsi="Arial" w:cs="Arial"/>
          <w:sz w:val="22"/>
          <w:szCs w:val="22"/>
        </w:rPr>
        <w:t>E, por estarem de inteiro e comum acordo, as partes assinam a presente Ata de Registro de Preços em 02 (duas) vias de igual teor e forma, juntamente com 02 (duas) testemunhas.</w:t>
      </w:r>
    </w:p>
    <w:p w:rsidR="00AE52BA" w:rsidRPr="0088592F" w:rsidRDefault="00AE52BA" w:rsidP="00AE52BA">
      <w:pPr>
        <w:ind w:firstLine="709"/>
        <w:rPr>
          <w:rFonts w:ascii="Arial" w:hAnsi="Arial" w:cs="Arial"/>
          <w:sz w:val="22"/>
          <w:szCs w:val="22"/>
        </w:rPr>
      </w:pPr>
      <w:r w:rsidRPr="0088592F">
        <w:rPr>
          <w:rFonts w:ascii="Arial" w:hAnsi="Arial" w:cs="Arial"/>
          <w:sz w:val="22"/>
          <w:szCs w:val="22"/>
        </w:rPr>
        <w:t xml:space="preserve">Serra Azul de Minas, </w:t>
      </w:r>
      <w:bookmarkStart w:id="2" w:name="OLE_LINK4"/>
      <w:bookmarkStart w:id="3" w:name="OLE_LINK5"/>
      <w:bookmarkStart w:id="4" w:name="OLE_LINK6"/>
      <w:bookmarkStart w:id="5" w:name="OLE_LINK20"/>
      <w:r w:rsidRPr="0088592F">
        <w:rPr>
          <w:rFonts w:ascii="Arial" w:hAnsi="Arial" w:cs="Arial"/>
          <w:sz w:val="22"/>
          <w:szCs w:val="22"/>
        </w:rPr>
        <w:t>Terça-feira , 10 de Outubro de 2017</w:t>
      </w:r>
      <w:bookmarkEnd w:id="2"/>
      <w:bookmarkEnd w:id="3"/>
      <w:bookmarkEnd w:id="4"/>
      <w:bookmarkEnd w:id="5"/>
    </w:p>
    <w:p w:rsidR="00AE52BA" w:rsidRPr="0088592F" w:rsidRDefault="00AE52BA" w:rsidP="00AE52BA">
      <w:pPr>
        <w:tabs>
          <w:tab w:val="left" w:pos="7165"/>
        </w:tabs>
        <w:autoSpaceDE w:val="0"/>
        <w:autoSpaceDN w:val="0"/>
        <w:adjustRightInd w:val="0"/>
        <w:rPr>
          <w:rFonts w:ascii="Arial" w:hAnsi="Arial" w:cs="Arial"/>
          <w:sz w:val="22"/>
          <w:szCs w:val="22"/>
        </w:rPr>
      </w:pPr>
    </w:p>
    <w:p w:rsidR="00AE52BA" w:rsidRPr="0088592F" w:rsidRDefault="00AE52BA" w:rsidP="0088592F">
      <w:pPr>
        <w:tabs>
          <w:tab w:val="left" w:pos="7165"/>
        </w:tabs>
        <w:autoSpaceDE w:val="0"/>
        <w:autoSpaceDN w:val="0"/>
        <w:adjustRightInd w:val="0"/>
        <w:jc w:val="center"/>
        <w:rPr>
          <w:rFonts w:ascii="Arial" w:hAnsi="Arial" w:cs="Arial"/>
          <w:sz w:val="22"/>
          <w:szCs w:val="22"/>
        </w:rPr>
      </w:pPr>
    </w:p>
    <w:p w:rsidR="00AE52BA" w:rsidRPr="002C235D" w:rsidRDefault="0088592F" w:rsidP="0088592F">
      <w:pPr>
        <w:tabs>
          <w:tab w:val="left" w:pos="7165"/>
        </w:tabs>
        <w:autoSpaceDE w:val="0"/>
        <w:autoSpaceDN w:val="0"/>
        <w:adjustRightInd w:val="0"/>
        <w:jc w:val="center"/>
        <w:rPr>
          <w:rFonts w:ascii="Arial" w:hAnsi="Arial" w:cs="Arial"/>
        </w:rPr>
      </w:pPr>
      <w:r>
        <w:rPr>
          <w:rFonts w:ascii="Arial" w:hAnsi="Arial" w:cs="Arial"/>
        </w:rPr>
        <w:t>_______</w:t>
      </w:r>
      <w:r w:rsidR="00AE52BA" w:rsidRPr="002C235D">
        <w:rPr>
          <w:rFonts w:ascii="Arial" w:hAnsi="Arial" w:cs="Arial"/>
        </w:rPr>
        <w:t>____________________________</w:t>
      </w:r>
    </w:p>
    <w:p w:rsidR="0088592F" w:rsidRDefault="00AE52BA" w:rsidP="0088592F">
      <w:pPr>
        <w:jc w:val="center"/>
        <w:rPr>
          <w:rFonts w:ascii="Arial" w:hAnsi="Arial" w:cs="Arial"/>
        </w:rPr>
      </w:pPr>
      <w:r w:rsidRPr="002C235D">
        <w:rPr>
          <w:rFonts w:ascii="Arial" w:hAnsi="Arial" w:cs="Arial"/>
        </w:rPr>
        <w:t>Leonardo do Carmo Coelho</w:t>
      </w:r>
    </w:p>
    <w:p w:rsidR="0088592F" w:rsidRDefault="00AE52BA" w:rsidP="0088592F">
      <w:pPr>
        <w:jc w:val="center"/>
        <w:rPr>
          <w:rFonts w:ascii="Arial" w:hAnsi="Arial" w:cs="Arial"/>
        </w:rPr>
      </w:pPr>
      <w:r w:rsidRPr="002C235D">
        <w:rPr>
          <w:rFonts w:ascii="Arial" w:hAnsi="Arial" w:cs="Arial"/>
        </w:rPr>
        <w:t>Prefeito Municipal</w:t>
      </w:r>
    </w:p>
    <w:p w:rsidR="0088592F" w:rsidRDefault="0088592F" w:rsidP="0088592F">
      <w:pPr>
        <w:jc w:val="center"/>
        <w:rPr>
          <w:rFonts w:ascii="Arial" w:hAnsi="Arial" w:cs="Arial"/>
        </w:rPr>
      </w:pPr>
    </w:p>
    <w:p w:rsidR="0088592F" w:rsidRDefault="0088592F" w:rsidP="0088592F">
      <w:pPr>
        <w:jc w:val="center"/>
        <w:rPr>
          <w:rFonts w:ascii="Arial" w:hAnsi="Arial" w:cs="Arial"/>
        </w:rPr>
      </w:pPr>
      <w:r>
        <w:rPr>
          <w:rFonts w:ascii="Arial" w:hAnsi="Arial" w:cs="Arial"/>
        </w:rPr>
        <w:t>____________________________________</w:t>
      </w:r>
    </w:p>
    <w:p w:rsidR="00AE52BA" w:rsidRPr="002C235D" w:rsidRDefault="00AE52BA" w:rsidP="0088592F">
      <w:pPr>
        <w:jc w:val="center"/>
        <w:rPr>
          <w:rFonts w:ascii="Arial" w:hAnsi="Arial" w:cs="Arial"/>
        </w:rPr>
      </w:pPr>
      <w:r w:rsidRPr="002C235D">
        <w:rPr>
          <w:rFonts w:ascii="Arial" w:hAnsi="Arial" w:cs="Arial"/>
        </w:rPr>
        <w:t>MARCELO ARAUJO SILVA E CIA LTDA-ME</w:t>
      </w:r>
    </w:p>
    <w:p w:rsidR="0088592F" w:rsidRPr="002C235D" w:rsidRDefault="0088592F" w:rsidP="0088592F">
      <w:pPr>
        <w:jc w:val="center"/>
        <w:rPr>
          <w:rFonts w:ascii="Arial" w:hAnsi="Arial" w:cs="Arial"/>
        </w:rPr>
      </w:pPr>
      <w:r w:rsidRPr="002C235D">
        <w:rPr>
          <w:rFonts w:ascii="Arial" w:hAnsi="Arial" w:cs="Arial"/>
        </w:rPr>
        <w:t>MARCELO ARAUJO SILVA</w:t>
      </w:r>
    </w:p>
    <w:p w:rsidR="00AE52BA" w:rsidRPr="002C235D" w:rsidRDefault="00AE52BA" w:rsidP="0088592F">
      <w:pPr>
        <w:tabs>
          <w:tab w:val="left" w:pos="7165"/>
        </w:tabs>
        <w:autoSpaceDE w:val="0"/>
        <w:autoSpaceDN w:val="0"/>
        <w:adjustRightInd w:val="0"/>
        <w:jc w:val="center"/>
        <w:rPr>
          <w:rFonts w:ascii="Arial" w:hAnsi="Arial" w:cs="Arial"/>
        </w:rPr>
      </w:pPr>
    </w:p>
    <w:p w:rsidR="00AE52BA" w:rsidRPr="002C235D" w:rsidRDefault="00AE52BA" w:rsidP="00AE52BA">
      <w:pPr>
        <w:tabs>
          <w:tab w:val="left" w:pos="7165"/>
        </w:tabs>
        <w:autoSpaceDE w:val="0"/>
        <w:autoSpaceDN w:val="0"/>
        <w:adjustRightInd w:val="0"/>
        <w:rPr>
          <w:rFonts w:ascii="Arial" w:hAnsi="Arial" w:cs="Arial"/>
        </w:rPr>
      </w:pPr>
    </w:p>
    <w:p w:rsidR="00AE52BA" w:rsidRPr="002C235D" w:rsidRDefault="00AE52BA" w:rsidP="00AE52BA">
      <w:pPr>
        <w:autoSpaceDE w:val="0"/>
        <w:autoSpaceDN w:val="0"/>
        <w:adjustRightInd w:val="0"/>
        <w:rPr>
          <w:rFonts w:ascii="Arial" w:hAnsi="Arial" w:cs="Arial"/>
          <w:bCs/>
        </w:rPr>
      </w:pPr>
      <w:r w:rsidRPr="002C235D">
        <w:rPr>
          <w:rFonts w:ascii="Arial" w:hAnsi="Arial" w:cs="Arial"/>
          <w:bCs/>
        </w:rPr>
        <w:t>Testemunhas:</w:t>
      </w:r>
    </w:p>
    <w:p w:rsidR="00AE52BA" w:rsidRPr="002C235D" w:rsidRDefault="00AE52BA" w:rsidP="00AE52BA">
      <w:pPr>
        <w:autoSpaceDE w:val="0"/>
        <w:autoSpaceDN w:val="0"/>
        <w:adjustRightInd w:val="0"/>
        <w:rPr>
          <w:rFonts w:ascii="Arial" w:hAnsi="Arial" w:cs="Arial"/>
        </w:rPr>
      </w:pPr>
    </w:p>
    <w:p w:rsidR="00AE52BA" w:rsidRPr="002C235D" w:rsidRDefault="00AE52BA" w:rsidP="00AE52BA">
      <w:pPr>
        <w:autoSpaceDE w:val="0"/>
        <w:autoSpaceDN w:val="0"/>
        <w:adjustRightInd w:val="0"/>
        <w:rPr>
          <w:rFonts w:ascii="Arial" w:hAnsi="Arial" w:cs="Arial"/>
        </w:rPr>
      </w:pPr>
      <w:r w:rsidRPr="002C235D">
        <w:rPr>
          <w:rFonts w:ascii="Arial" w:hAnsi="Arial" w:cs="Arial"/>
        </w:rPr>
        <w:t>1. ____________________________________________CPF:_______________</w:t>
      </w:r>
    </w:p>
    <w:p w:rsidR="00AE52BA" w:rsidRPr="002C235D" w:rsidRDefault="00AE52BA" w:rsidP="00AE52BA">
      <w:pPr>
        <w:autoSpaceDE w:val="0"/>
        <w:autoSpaceDN w:val="0"/>
        <w:adjustRightInd w:val="0"/>
        <w:rPr>
          <w:rFonts w:ascii="Arial" w:hAnsi="Arial" w:cs="Arial"/>
        </w:rPr>
      </w:pPr>
    </w:p>
    <w:p w:rsidR="00AE52BA" w:rsidRPr="002C235D" w:rsidRDefault="00AE52BA" w:rsidP="00AE52BA">
      <w:pPr>
        <w:autoSpaceDE w:val="0"/>
        <w:autoSpaceDN w:val="0"/>
        <w:adjustRightInd w:val="0"/>
        <w:rPr>
          <w:rFonts w:ascii="Arial" w:hAnsi="Arial" w:cs="Arial"/>
        </w:rPr>
      </w:pPr>
      <w:r w:rsidRPr="002C235D">
        <w:rPr>
          <w:rFonts w:ascii="Arial" w:hAnsi="Arial" w:cs="Arial"/>
        </w:rPr>
        <w:t>2.___________________________________________CPF:_____________</w:t>
      </w:r>
    </w:p>
    <w:p w:rsidR="001B6B89" w:rsidRPr="002C235D" w:rsidRDefault="001B6B89" w:rsidP="001B6B89">
      <w:pPr>
        <w:jc w:val="center"/>
        <w:rPr>
          <w:rFonts w:ascii="Arial" w:hAnsi="Arial" w:cs="Arial"/>
        </w:rPr>
      </w:pPr>
    </w:p>
    <w:sectPr w:rsidR="001B6B89" w:rsidRPr="002C235D" w:rsidSect="001A2D86">
      <w:headerReference w:type="even" r:id="rId7"/>
      <w:headerReference w:type="default" r:id="rId8"/>
      <w:footerReference w:type="even" r:id="rId9"/>
      <w:footerReference w:type="default" r:id="rId10"/>
      <w:headerReference w:type="first" r:id="rId11"/>
      <w:footerReference w:type="first" r:id="rId12"/>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A24" w:rsidRDefault="00CD3A24" w:rsidP="00EE0DBB">
      <w:r>
        <w:separator/>
      </w:r>
    </w:p>
  </w:endnote>
  <w:endnote w:type="continuationSeparator" w:id="1">
    <w:p w:rsidR="00CD3A24" w:rsidRDefault="00CD3A24"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A24" w:rsidRDefault="00CD3A24" w:rsidP="00EE0DBB">
      <w:r>
        <w:separator/>
      </w:r>
    </w:p>
  </w:footnote>
  <w:footnote w:type="continuationSeparator" w:id="1">
    <w:p w:rsidR="00CD3A24" w:rsidRDefault="00CD3A24"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1F0F58">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530F50" w:rsidP="001F0F58">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A968A5" w:rsidP="001A2D86">
          <w:pPr>
            <w:pStyle w:val="Ttulo7"/>
            <w:spacing w:before="400" w:after="0"/>
            <w:rPr>
              <w:rFonts w:ascii="Arial Black" w:hAnsi="Arial Black"/>
              <w:sz w:val="20"/>
              <w:szCs w:val="20"/>
              <w:lang w:eastAsia="en-US"/>
            </w:rPr>
          </w:pPr>
          <w:r w:rsidRPr="00A968A5">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Elipse 3">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1A2D86" w:rsidRPr="00112A65" w:rsidRDefault="00EE0DBB" w:rsidP="00112A65">
          <w:pPr>
            <w:pStyle w:val="Corpodetexto"/>
            <w:tabs>
              <w:tab w:val="left" w:pos="0"/>
              <w:tab w:val="left" w:pos="360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Pr="001A2D86" w:rsidRDefault="001A2D86" w:rsidP="00112A65">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530F50"/>
    <w:rsid w:val="00057A50"/>
    <w:rsid w:val="00112A65"/>
    <w:rsid w:val="001A2D86"/>
    <w:rsid w:val="001A7DD3"/>
    <w:rsid w:val="001B6B89"/>
    <w:rsid w:val="001F0F58"/>
    <w:rsid w:val="00236F7C"/>
    <w:rsid w:val="00274CD0"/>
    <w:rsid w:val="00277F6B"/>
    <w:rsid w:val="002C235D"/>
    <w:rsid w:val="004076DB"/>
    <w:rsid w:val="00460A79"/>
    <w:rsid w:val="004946B2"/>
    <w:rsid w:val="00530F50"/>
    <w:rsid w:val="00595F55"/>
    <w:rsid w:val="0062695D"/>
    <w:rsid w:val="006D308B"/>
    <w:rsid w:val="0072445E"/>
    <w:rsid w:val="00791FA0"/>
    <w:rsid w:val="007F0E00"/>
    <w:rsid w:val="007F7809"/>
    <w:rsid w:val="00800C69"/>
    <w:rsid w:val="0080277F"/>
    <w:rsid w:val="00852AE5"/>
    <w:rsid w:val="0088592F"/>
    <w:rsid w:val="009713F5"/>
    <w:rsid w:val="00A134D2"/>
    <w:rsid w:val="00A968A5"/>
    <w:rsid w:val="00AD499A"/>
    <w:rsid w:val="00AE52BA"/>
    <w:rsid w:val="00B6674B"/>
    <w:rsid w:val="00BB1C1B"/>
    <w:rsid w:val="00CD3A24"/>
    <w:rsid w:val="00DE2EE4"/>
    <w:rsid w:val="00E1680B"/>
    <w:rsid w:val="00E23413"/>
    <w:rsid w:val="00EE0DBB"/>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E0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hd,he, Char Char Char Char Char Char, Char Char Char Char, Char"/>
    <w:basedOn w:val="Normal"/>
    <w:link w:val="CabealhoChar"/>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Normal"/>
    <w:rsid w:val="0080277F"/>
    <w:pPr>
      <w:spacing w:before="100" w:beforeAutospacing="1" w:after="100" w:afterAutospacing="1"/>
      <w:jc w:val="right"/>
      <w:textAlignment w:val="center"/>
    </w:pPr>
    <w:rPr>
      <w:b/>
      <w:bCs/>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style>
  <w:style w:type="paragraph" w:customStyle="1" w:styleId="xl71">
    <w:name w:val="xl71"/>
    <w:basedOn w:val="Normal"/>
    <w:rsid w:val="0080277F"/>
    <w:pPr>
      <w:shd w:val="clear" w:color="FFFF99" w:fill="FFFF99"/>
      <w:spacing w:before="100" w:beforeAutospacing="1" w:after="100" w:afterAutospacing="1"/>
    </w:p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80277F"/>
    <w:pPr>
      <w:spacing w:before="100" w:beforeAutospacing="1" w:after="100" w:afterAutospacing="1"/>
    </w:pPr>
    <w:rPr>
      <w:color w:val="000000"/>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color w:val="000000"/>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color w:val="000000"/>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Corpodetexto"/>
    <w:rsid w:val="007F0E00"/>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AO\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Template>
  <TotalTime>110</TotalTime>
  <Pages>11</Pages>
  <Words>3682</Words>
  <Characters>19886</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LICITACAO</cp:lastModifiedBy>
  <cp:revision>3</cp:revision>
  <dcterms:created xsi:type="dcterms:W3CDTF">2017-10-10T14:26:00Z</dcterms:created>
  <dcterms:modified xsi:type="dcterms:W3CDTF">2017-10-11T11:53:00Z</dcterms:modified>
</cp:coreProperties>
</file>